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35" w:tblpY="2673"/>
        <w:tblOverlap w:val="never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529"/>
        <w:gridCol w:w="1134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项目主持人</w:t>
            </w:r>
          </w:p>
        </w:tc>
        <w:tc>
          <w:tcPr>
            <w:tcW w:w="1417" w:type="dxa"/>
            <w:vAlign w:val="center"/>
          </w:tcPr>
          <w:p>
            <w:pPr>
              <w:ind w:firstLine="180" w:firstLineChars="1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项目类型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（重点、一般）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529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文化自信与文化传承背景下打造高校艺术通识金课研究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史晓楠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529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以学生为中心，以解决实际问题为导向的教学模式改革研究与实践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樊岩绯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29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“1+X”与应用型人才培养融合路径研究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529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基于系统学理论的机械类创新人才的过程培养模式的研究与实践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29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构建虚实结合被控机电设备提高机电专业实践教学的改革研究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王炜富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529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服装与服饰设计专业修读学分制改革初探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王文杰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5529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互文视阈下课程思政教学改革的困境及对策研究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52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民办高校应用型人才创新教育模式研究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金文玥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52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美育课程体系在民办高校素质培养中的创新与研究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田宜彩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52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移动互联思维视阈下提高基层党支部建设质量研究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王文娟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552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工业设计艺术课程改革与文化创意产业的协同发展研究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钱海燕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552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以企业需求为导向材料成型及控制工程专业毕业设计改革与实践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尉晓娟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552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“互联网+”时代基于“双创”教育的计算机专业人才培养模式的研究与实践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552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供给侧改革视角下自动化专业基于内涵式发展的实践教学体系研究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李世涛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552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新工科背景下机器人工程专业建设的探索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52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新时代大学生思想政治教育实践育人模式的探究—以《思想道德与法治》课程为例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吕凡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552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基于超星在线教学平台混合式教学模式的实践与研究——以“概论”课为例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欧阳乐乐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552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“精准思政”视角下的分层教学理论在民办高校思政教学改革中的应用研究——以《中国近现代史纲要》课程为例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王彤宇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552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新零售模式下服装专业创新创业人才培养探索与实践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及文昊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2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高校服装专业双语（日语）地域化特色教学改革初探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许瑞欣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</w:tr>
    </w:tbl>
    <w:p>
      <w:pPr>
        <w:pStyle w:val="2"/>
        <w:bidi w:val="0"/>
        <w:ind w:firstLine="321" w:firstLineChars="100"/>
        <w:jc w:val="center"/>
      </w:pPr>
      <w:bookmarkStart w:id="0" w:name="_GoBack"/>
      <w:r>
        <w:rPr>
          <w:rFonts w:hint="eastAsia"/>
          <w:sz w:val="32"/>
          <w:szCs w:val="32"/>
        </w:rPr>
        <w:t>教育教学改革研究项目申报评审结果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76839"/>
    <w:rsid w:val="7557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2021-10-28T01:43:00Z</dcterms:created>
  <dc:creator>Administrator</dc:creator>
  <cp:lastModifiedBy>Administrator</cp:lastModifiedBy>
  <dcterms:modified xsi:type="dcterms:W3CDTF">2021-10-28T01:45:01Z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7D518823D8484CA59E1C17BEE7BE209E</vt:lpwstr>
  </property>
</Properties>
</file>